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5000" w:type="pc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719"/>
        <w:gridCol w:w="952"/>
        <w:gridCol w:w="1162"/>
        <w:gridCol w:w="1162"/>
        <w:gridCol w:w="1162"/>
        <w:gridCol w:w="1162"/>
        <w:gridCol w:w="1185"/>
      </w:tblGrid>
      <w:tr w:rsidR="00A53D30" w:rsidRPr="00A53D30" w14:paraId="33E7EC11" w14:textId="77777777" w:rsidTr="003332E7">
        <w:trPr>
          <w:trHeight w:val="503"/>
        </w:trPr>
        <w:tc>
          <w:tcPr>
            <w:tcW w:w="5000" w:type="pct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8156B4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b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b/>
                <w:kern w:val="0"/>
                <w:sz w:val="20"/>
                <w:szCs w:val="20"/>
              </w:rPr>
              <w:t>Table 2. Susceptibility test of antibiotics (Present case series)</w:t>
            </w:r>
          </w:p>
        </w:tc>
      </w:tr>
      <w:tr w:rsidR="00A53D30" w:rsidRPr="00A53D30" w14:paraId="500D26CE" w14:textId="77777777" w:rsidTr="003332E7">
        <w:trPr>
          <w:trHeight w:val="870"/>
        </w:trPr>
        <w:tc>
          <w:tcPr>
            <w:tcW w:w="101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581640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Antibiotics/case</w:t>
            </w:r>
          </w:p>
        </w:tc>
        <w:tc>
          <w:tcPr>
            <w:tcW w:w="5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55A796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AF1452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7D5D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D39B0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EF5A65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6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6BC26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6</w:t>
            </w:r>
          </w:p>
        </w:tc>
      </w:tr>
      <w:tr w:rsidR="00A53D30" w:rsidRPr="00A53D30" w14:paraId="0DB1F712" w14:textId="77777777" w:rsidTr="003332E7">
        <w:trPr>
          <w:trHeight w:val="545"/>
        </w:trPr>
        <w:tc>
          <w:tcPr>
            <w:tcW w:w="101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969AAF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Penicillin-G</w:t>
            </w:r>
          </w:p>
        </w:tc>
        <w:tc>
          <w:tcPr>
            <w:tcW w:w="5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B8E9F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F5748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E83AB1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C487C7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DB772F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782862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51B25E90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F601B3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Ampicillin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02121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B7C9382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533C0EF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7D8171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DBA61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808D1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082BCC60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E289A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Cefazolin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C7FFF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EB2C1C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AC1BBF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5552BE2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812A3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93D1A6F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</w:tr>
      <w:tr w:rsidR="00A53D30" w:rsidRPr="00A53D30" w14:paraId="2030FD8A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4C2D42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Ceftriaxone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71012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4666F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5E939A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F554AF4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294E9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9B858BC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578BFD8E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27B576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Meropenem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0D59E3B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E2408A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76D235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F0D82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A1486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0646BE4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60CE4B8A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08B0C3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Imipenem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60C62A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9F22D5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C081C9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3DDD8C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668EDB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275807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</w:tr>
      <w:tr w:rsidR="00A53D30" w:rsidRPr="00A53D30" w14:paraId="7C9789C9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534E611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Vancomycin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96AFA7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174400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98AA9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ED6111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55B7BB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A546B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2C679088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8DEF0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Erythromycin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C171DD5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DE042C1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6DBFC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64059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83693AC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CBFAF7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10FE8D2B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20834A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Clarithromycin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5962C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E2F75A3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DC0C60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779F640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CE8CAD1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B99E6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</w:tr>
      <w:tr w:rsidR="00A53D30" w:rsidRPr="00A53D30" w14:paraId="20EC3EEC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07A637F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Clindamycin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47AD71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D5ABA1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2628AF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F3C2A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803F6A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0D93CF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02BBF9EC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36AB9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Minocycline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661A11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6EA68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1F796C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I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2615027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A4CB08D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B1DD68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</w:tr>
      <w:tr w:rsidR="00A53D30" w:rsidRPr="00A53D30" w14:paraId="48BE2360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6F966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Arbekacin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3E97B5B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2E3AA7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B8CF547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9AA921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FB43CF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NA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093FF84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NA</w:t>
            </w:r>
          </w:p>
        </w:tc>
      </w:tr>
      <w:tr w:rsidR="00A53D30" w:rsidRPr="00A53D30" w14:paraId="432737C9" w14:textId="77777777" w:rsidTr="003332E7">
        <w:trPr>
          <w:trHeight w:val="545"/>
        </w:trPr>
        <w:tc>
          <w:tcPr>
            <w:tcW w:w="101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15FEB19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lastRenderedPageBreak/>
              <w:t>Levofloxacin</w:t>
            </w:r>
          </w:p>
        </w:tc>
        <w:tc>
          <w:tcPr>
            <w:tcW w:w="5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7CAFF7E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1B83D5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N/A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4163820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37417B1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</w:t>
            </w:r>
          </w:p>
        </w:tc>
        <w:tc>
          <w:tcPr>
            <w:tcW w:w="6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7BDA2B6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  <w:tc>
          <w:tcPr>
            <w:tcW w:w="69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1180FE8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R</w:t>
            </w:r>
          </w:p>
        </w:tc>
      </w:tr>
      <w:tr w:rsidR="00A53D30" w:rsidRPr="00A53D30" w14:paraId="4FF5DBB9" w14:textId="77777777" w:rsidTr="003332E7">
        <w:trPr>
          <w:trHeight w:val="312"/>
        </w:trPr>
        <w:tc>
          <w:tcPr>
            <w:tcW w:w="5000" w:type="pct"/>
            <w:gridSpan w:val="7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93E147" w14:textId="77777777" w:rsidR="00A53D30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 = Sensitive, R = Resistant, I = Intermediate, N/A = Not available</w:t>
            </w:r>
          </w:p>
          <w:p w14:paraId="6AFE49CE" w14:textId="77777777" w:rsidR="00E956DE" w:rsidRPr="00666529" w:rsidRDefault="00A53D30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A susceptibility test of antibiotics was performed with the microdilution method at each facility. All results were interpreted according to the Clinical and Laboratory Standards Institute standard method.</w:t>
            </w:r>
          </w:p>
          <w:p w14:paraId="0E3630AB" w14:textId="38625787" w:rsidR="00C5791E" w:rsidRPr="00666529" w:rsidRDefault="00C5791E" w:rsidP="00A53D30">
            <w:pPr>
              <w:widowControl/>
              <w:spacing w:after="160" w:line="480" w:lineRule="auto"/>
              <w:jc w:val="left"/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</w:pPr>
            <w:r w:rsidRPr="00666529">
              <w:rPr>
                <w:rFonts w:ascii="Times New Roman" w:eastAsia="MS Mincho" w:hAnsi="Times New Roman" w:cs="Times New Roman"/>
                <w:kern w:val="0"/>
                <w:sz w:val="20"/>
                <w:szCs w:val="20"/>
              </w:rPr>
              <w:t>Susceptibility testing used blood samples in all cases except for case 4, for which ocular samples were used (both aqueous and vitreous samples in this case returned the same result).</w:t>
            </w:r>
            <w:bookmarkStart w:id="0" w:name="_GoBack"/>
            <w:bookmarkEnd w:id="0"/>
          </w:p>
        </w:tc>
      </w:tr>
    </w:tbl>
    <w:p w14:paraId="25FB2C9D" w14:textId="77777777" w:rsidR="001E7493" w:rsidRPr="00A53D30" w:rsidRDefault="001E7493">
      <w:pPr>
        <w:rPr>
          <w:lang w:val="en-GB"/>
        </w:rPr>
      </w:pPr>
    </w:p>
    <w:sectPr w:rsidR="001E7493" w:rsidRPr="00A53D3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B731E1" w14:textId="77777777" w:rsidR="00614793" w:rsidRDefault="00614793" w:rsidP="00E320F0">
      <w:r>
        <w:separator/>
      </w:r>
    </w:p>
  </w:endnote>
  <w:endnote w:type="continuationSeparator" w:id="0">
    <w:p w14:paraId="4C623C41" w14:textId="77777777" w:rsidR="00614793" w:rsidRDefault="00614793" w:rsidP="00E32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DAB267" w14:textId="77777777" w:rsidR="00614793" w:rsidRDefault="00614793" w:rsidP="00E320F0">
      <w:r>
        <w:separator/>
      </w:r>
    </w:p>
  </w:footnote>
  <w:footnote w:type="continuationSeparator" w:id="0">
    <w:p w14:paraId="7F39CBD9" w14:textId="77777777" w:rsidR="00614793" w:rsidRDefault="00614793" w:rsidP="00E32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D30"/>
    <w:rsid w:val="0000455F"/>
    <w:rsid w:val="001E7493"/>
    <w:rsid w:val="002751A9"/>
    <w:rsid w:val="003E49EB"/>
    <w:rsid w:val="00514680"/>
    <w:rsid w:val="00614793"/>
    <w:rsid w:val="00666529"/>
    <w:rsid w:val="00A53D30"/>
    <w:rsid w:val="00C5791E"/>
    <w:rsid w:val="00C6458B"/>
    <w:rsid w:val="00E320F0"/>
    <w:rsid w:val="00E63B3B"/>
    <w:rsid w:val="00E95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39D99BE"/>
  <w15:chartTrackingRefBased/>
  <w15:docId w15:val="{35DA6050-7461-47C7-A0F6-69BEA26CC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0F0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E320F0"/>
  </w:style>
  <w:style w:type="paragraph" w:styleId="Footer">
    <w:name w:val="footer"/>
    <w:basedOn w:val="Normal"/>
    <w:link w:val="FooterChar"/>
    <w:uiPriority w:val="99"/>
    <w:unhideWhenUsed/>
    <w:rsid w:val="00E320F0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E320F0"/>
  </w:style>
  <w:style w:type="paragraph" w:styleId="BalloonText">
    <w:name w:val="Balloon Text"/>
    <w:basedOn w:val="Normal"/>
    <w:link w:val="BalloonTextChar"/>
    <w:uiPriority w:val="99"/>
    <w:semiHidden/>
    <w:unhideWhenUsed/>
    <w:rsid w:val="002751A9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1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真彰 吉田</dc:creator>
  <cp:keywords/>
  <dc:description/>
  <cp:lastModifiedBy>Academic Formatting Specialist</cp:lastModifiedBy>
  <cp:revision>2</cp:revision>
  <dcterms:created xsi:type="dcterms:W3CDTF">2020-01-08T17:59:00Z</dcterms:created>
  <dcterms:modified xsi:type="dcterms:W3CDTF">2020-01-08T17:59:00Z</dcterms:modified>
</cp:coreProperties>
</file>